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4910" w:rsidRDefault="00394910" w:rsidP="00292670">
      <w:pPr>
        <w:jc w:val="center"/>
        <w:rPr>
          <w:rFonts w:ascii="Times New Roman" w:hAnsi="Times New Roman" w:cs="Times New Roman"/>
          <w:b/>
          <w:sz w:val="32"/>
          <w:szCs w:val="32"/>
        </w:rPr>
      </w:pPr>
      <w:bookmarkStart w:id="0" w:name="_GoBack"/>
      <w:bookmarkEnd w:id="0"/>
      <w:r w:rsidRPr="00292670">
        <w:rPr>
          <w:rFonts w:ascii="Times New Roman" w:hAnsi="Times New Roman" w:cs="Times New Roman"/>
          <w:b/>
          <w:sz w:val="32"/>
          <w:szCs w:val="32"/>
        </w:rPr>
        <w:t xml:space="preserve">PHÂN CẤP TRONG LĨNH VỰC </w:t>
      </w:r>
      <w:r w:rsidR="00292670" w:rsidRPr="00292670">
        <w:rPr>
          <w:rFonts w:ascii="Times New Roman" w:hAnsi="Times New Roman" w:cs="Times New Roman"/>
          <w:b/>
          <w:sz w:val="32"/>
          <w:szCs w:val="32"/>
        </w:rPr>
        <w:t xml:space="preserve"> </w:t>
      </w:r>
      <w:r w:rsidRPr="00292670">
        <w:rPr>
          <w:rFonts w:ascii="Times New Roman" w:hAnsi="Times New Roman" w:cs="Times New Roman"/>
          <w:b/>
          <w:sz w:val="32"/>
          <w:szCs w:val="32"/>
        </w:rPr>
        <w:t>VĂN HÓA – XÃ HỘI</w:t>
      </w:r>
    </w:p>
    <w:p w:rsidR="00292670" w:rsidRPr="00292670" w:rsidRDefault="00292670" w:rsidP="00292670">
      <w:pPr>
        <w:jc w:val="center"/>
        <w:rPr>
          <w:rFonts w:ascii="Times New Roman" w:hAnsi="Times New Roman" w:cs="Times New Roman"/>
          <w:b/>
          <w:sz w:val="32"/>
          <w:szCs w:val="32"/>
        </w:rPr>
      </w:pPr>
      <w:r>
        <w:rPr>
          <w:rFonts w:ascii="Times New Roman" w:hAnsi="Times New Roman" w:cs="Times New Roman"/>
          <w:b/>
          <w:sz w:val="32"/>
          <w:szCs w:val="32"/>
        </w:rPr>
        <w:t>---------</w:t>
      </w:r>
    </w:p>
    <w:p w:rsidR="00394910" w:rsidRPr="00292670" w:rsidRDefault="00394910" w:rsidP="00292670">
      <w:pPr>
        <w:spacing w:line="360" w:lineRule="auto"/>
        <w:jc w:val="both"/>
        <w:rPr>
          <w:rFonts w:ascii="Times New Roman" w:hAnsi="Times New Roman" w:cs="Times New Roman"/>
          <w:b/>
          <w:sz w:val="28"/>
          <w:szCs w:val="28"/>
        </w:rPr>
      </w:pPr>
      <w:r w:rsidRPr="00292670">
        <w:rPr>
          <w:rFonts w:ascii="Times New Roman" w:hAnsi="Times New Roman" w:cs="Times New Roman"/>
          <w:b/>
          <w:sz w:val="28"/>
          <w:szCs w:val="28"/>
        </w:rPr>
        <w:t>I.TỔNG QUAN VỀ PHÂN CẤP QUẢN LÝ</w:t>
      </w:r>
    </w:p>
    <w:p w:rsidR="00394910" w:rsidRPr="00292670" w:rsidRDefault="00394910" w:rsidP="00292670">
      <w:pPr>
        <w:spacing w:line="360" w:lineRule="auto"/>
        <w:jc w:val="both"/>
        <w:rPr>
          <w:rFonts w:ascii="Times New Roman" w:hAnsi="Times New Roman" w:cs="Times New Roman"/>
          <w:b/>
          <w:sz w:val="28"/>
          <w:szCs w:val="28"/>
        </w:rPr>
      </w:pPr>
      <w:r w:rsidRPr="00292670">
        <w:rPr>
          <w:rFonts w:ascii="Times New Roman" w:hAnsi="Times New Roman" w:cs="Times New Roman"/>
          <w:b/>
          <w:sz w:val="28"/>
          <w:szCs w:val="28"/>
        </w:rPr>
        <w:t>II. PHÂN CẤP QUẢN LÝ TRONG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Lĩnh vực văn hóa - xã hội rất rộng, có thể bao gồm: Vấn đề di tích lịch sử và văn hóa; bảo quản và tu bổ di tích lịch sử và văn hóa; Vấn đề lễ hội; Vấn đề tôn giáo; vấn đề bản quyền, sở hữu trí tuệ; Y tế, giáo, thể dục thể thao, vui chơi, giải trí, v.v.</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Trong các văn bản pháp luật Việt Nam trước đây, không phân loại riêng cho cụm từ văn hóa - xã hội.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Luật Tổ chức HĐND và UBND phân loại lĩnh vực để quy định nhiệm vụ và quyền hạn cho từng cấp chính quyền theo một cách khác. Luật quy định 15 lĩnh vực ( không có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Luật Tổ chức chính quyền địa phương ( có hiệu lực thi hành từ ngày 01/01/ 2016) quy định rõ tổ chức của HĐND các cấp có phân chia ban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Ban văn hóa – xã hội phụ trách các lĩnh vực: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Thông tin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Thể dục thể thao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Dân tộc ( nếu không có ban Dân tộc riêng)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Phân cấp quản lý trong lĩnh vực văn hóa -xã hội là những lĩnh vực mà sự tham gia của các thành phần kinh tế theo chủ trương xã hội hóa nên cần phân biệt: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Phân cấp quản lý NN trên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Trao quyền tự chủ cho các chủ thể tham gia trong lĩnh vực văn hóa - xã hội theo hướng tự quyết.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sz w:val="28"/>
          <w:szCs w:val="28"/>
        </w:rPr>
        <w:t>1. Phân cấp quản lý trong lĩnh vực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Giáo dục là một lĩnh vực dịch vụ đặc biệt, nhằm đáp ứng nhu cầu học của xã hội trên tất cả các lĩnh vực, các cấp độ giáo dục từ mầm non đến sau đại học, từ giáo dục phổ thông (Luật Giáo dục) đến giáo dục mang tính nghề nghiệp (dạy nghề).</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Hoạt động cung cấp dịch vụ giáo dục (tương tự cho nhiều ngành khác) là nhằm đáp ứng đòi hỏi của công dân, xã hội về các loại dịch vụ liên quan đến giáo dục.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Hoạt động cung cấp dịch vụ giáo dục tồn tại ở mọi địa bàn lãnh thổ; cho nhiều đối tượng khác nhau và theo những cấp độ khác nhau</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Hoạt động cung cấp dịch vụ giáo dục được thực hiện bởi nhiều chủ thể khác nhau nên NN phải tác động vào quản lý để điều tiết một phần mối quan hệ trên.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Sự tồn tại của hoạt động cung cấp dịch vụ giáo dục trong cơ chế thị trường luôn là sự cân bằng giữa chất lượng dịch vụ </w:t>
      </w:r>
      <w:r w:rsidRPr="00292670">
        <w:rPr>
          <w:rFonts w:ascii="Times New Roman" w:hAnsi="Times New Roman" w:cs="Times New Roman"/>
          <w:i/>
          <w:iCs/>
          <w:sz w:val="28"/>
          <w:szCs w:val="28"/>
        </w:rPr>
        <w:t xml:space="preserve">được cung cấp </w:t>
      </w:r>
      <w:r w:rsidRPr="00292670">
        <w:rPr>
          <w:rFonts w:ascii="Times New Roman" w:hAnsi="Times New Roman" w:cs="Times New Roman"/>
          <w:sz w:val="28"/>
          <w:szCs w:val="28"/>
        </w:rPr>
        <w:t xml:space="preserve">và chất lượng dịch vụ mà </w:t>
      </w:r>
      <w:r w:rsidRPr="00292670">
        <w:rPr>
          <w:rFonts w:ascii="Times New Roman" w:hAnsi="Times New Roman" w:cs="Times New Roman"/>
          <w:i/>
          <w:iCs/>
          <w:sz w:val="28"/>
          <w:szCs w:val="28"/>
        </w:rPr>
        <w:t xml:space="preserve">người sử dụng yêu cầu </w:t>
      </w:r>
      <w:r w:rsidRPr="00292670">
        <w:rPr>
          <w:rFonts w:ascii="Times New Roman" w:hAnsi="Times New Roman" w:cs="Times New Roman"/>
          <w:sz w:val="28"/>
          <w:szCs w:val="28"/>
        </w:rPr>
        <w:t>trên cơ sở giá cả cạnh tranh.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Sự bất bình đẳng trong hoạt động cung cấp dịch vụ luôn xảy ra và do đó, đòi hỏi có sự can thiệp của nhà nước.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1.1.Nội dung quản lý nhà nước về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i/>
          <w:iCs/>
          <w:sz w:val="28"/>
          <w:szCs w:val="28"/>
        </w:rPr>
        <w:t xml:space="preserve">Luật Giáo dục </w:t>
      </w:r>
      <w:r w:rsidRPr="00292670">
        <w:rPr>
          <w:rFonts w:ascii="Times New Roman" w:hAnsi="Times New Roman" w:cs="Times New Roman"/>
          <w:sz w:val="28"/>
          <w:szCs w:val="28"/>
        </w:rPr>
        <w:t>quy định nội dung quản lý NN về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Xây dựng và chỉ đạo thực hiện chiến lược, quy hoạch, kế hoạch, chính sách phát triển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Ban hành và tổ chức thực hiện văn bản quy phạm pháp luật về giáo dục; ban hành điều lệ nhà trường; ban hành quy định về tổ chức và hoạt động của cơ sở giáo dục khác;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Quy định mục tiêu, chương trình, nôi dung giáo dục; tiêu chuẩn nhà giáo; tiêu chuẩn cơ sở vật chất và thiết bị trường học; việc biên soạn, xuất bản, in và phát hành sách giáo khoa, giáo trình; quy chế thi cử và cấp văn bằng, chứng chỉ;</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Tổ chức, quản lý việc đảm bảo chất lượng giáo dục và kiểm định chất lượng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Thực hiện công tác thống kê, thông tin về tổ chức và hoạt động giáo dục; lượng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Tổ chức bộ máy quản lý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Tổ chức, chỉ đạo việc đào tạo, bồi dưỡng, quản lý nhà giáo và cán bộ quản lý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Huy động, quản lý, sử dụng các nguồn lực để phát triển sự nghiệp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Tổ chức, quản lý công tác nghiên cứu, ứng dụng khoa học, công nghệ trong lĩnh vực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Tổ chức, quản lý công tác hợp tác quốc tế về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Quy định việc tặng danh hiệu vinh dự cho người có nhiều công lao đối với sự nghiệp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Thanh tra, kiểm tra việc chấp hành luật về giáo dục; giải quyết khiếu nại, tố cáo và xử lý các hành vi vi phạm pháp luật về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lastRenderedPageBreak/>
        <w:t>1.2. Phân cấp quản lý nhà nước trong lĩnh vực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Xét trên tổng thể, NN quản lý hầu hết tất cả các yếu tố có liên quan đến hoạt động cung cấp dịch vụ giáo dục.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Việc tổ chức, chỉ đạo việc đào tạo, bồi dưỡng, quản lý nhà giáo và cán bộ quản lý giáo dục mang ý nghĩa riêng tư của từng chủ thể cung cấp dịch vụ cũng thuộc nội dung quản lý NN.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Xét trên tổng thể, NN quản lý hầu hết tất cả các yếu tố có liên quan đến hoạt động cung cấp dịch vụ giáo dục.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Việc tổ chức, chỉ đạo việc đào tạo, bồi dưỡng, quản lý nhà giáo và cán bộ quản lý giáo dục mang ý nghĩa riêng tư của từng chủ thể cung cấp dịch vụ cũng thuộc nội dung quản lý NN.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 xml:space="preserve">Đối với lĩnh vực dạy nghề </w:t>
      </w:r>
      <w:r w:rsidRPr="00292670">
        <w:rPr>
          <w:rFonts w:ascii="Times New Roman" w:hAnsi="Times New Roman" w:cs="Times New Roman"/>
          <w:sz w:val="28"/>
          <w:szCs w:val="28"/>
        </w:rPr>
        <w:t>( cũng là giáo dục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Luật quy định phân cấp tương tự như đối với giáo dục. Sự khác nhau cơ bản chỉ là thay cho Bộ Giáo dục và Đào tạo là Bộ Lao động - Thương binh và Xã hội.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Ở cấp địa phương cũng thay đổi tương ứng với các Sở ( ở tỉnh ) và Phòng ( cấp huyện ).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1.3. Phân cấp quản lý dựa trên tính tự quản của các chủ thể cung cấp dịch vụ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Hiện nay trên lĩnh vực hoạt động cung cấp dịch vụ giáo dục, dạy nghề, chủ thể cung cấp dịch vụ bao gồm: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Các chủ thể thuộc sở hữu NN ( công lập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Các chủ thể dân lập</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Các chủ thể tư thục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Các chủ thể có yếu tố nước ngoài.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H</w:t>
      </w:r>
      <w:r w:rsidRPr="00292670">
        <w:rPr>
          <w:rFonts w:ascii="Times New Roman" w:hAnsi="Times New Roman" w:cs="Times New Roman"/>
          <w:sz w:val="28"/>
          <w:szCs w:val="28"/>
        </w:rPr>
        <w:t xml:space="preserve">ệ thống cơ sở </w:t>
      </w:r>
      <w:r w:rsidRPr="00292670">
        <w:rPr>
          <w:rFonts w:ascii="Times New Roman" w:hAnsi="Times New Roman" w:cs="Times New Roman"/>
          <w:sz w:val="28"/>
          <w:szCs w:val="28"/>
          <w:lang w:val="vi-VN"/>
        </w:rPr>
        <w:t>giáo</w:t>
      </w:r>
      <w:r w:rsidRPr="00292670">
        <w:rPr>
          <w:rFonts w:ascii="Times New Roman" w:hAnsi="Times New Roman" w:cs="Times New Roman"/>
          <w:sz w:val="28"/>
          <w:szCs w:val="28"/>
        </w:rPr>
        <w:t xml:space="preserve"> dục Việt Nam có hai loại: Công lập và tư thục nên phân cấp tự chịu trách nhiệm ha</w:t>
      </w:r>
      <w:r w:rsidRPr="00292670">
        <w:rPr>
          <w:rFonts w:ascii="Times New Roman" w:hAnsi="Times New Roman" w:cs="Times New Roman"/>
          <w:sz w:val="28"/>
          <w:szCs w:val="28"/>
          <w:lang w:val="vi-VN"/>
        </w:rPr>
        <w:t>i</w:t>
      </w:r>
      <w:r w:rsidRPr="00292670">
        <w:rPr>
          <w:rFonts w:ascii="Times New Roman" w:hAnsi="Times New Roman" w:cs="Times New Roman"/>
          <w:sz w:val="28"/>
          <w:szCs w:val="28"/>
        </w:rPr>
        <w:t xml:space="preserve"> hệ thống này hoàn toàn khác nhau:</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w:t>
      </w:r>
      <w:r w:rsidRPr="00292670">
        <w:rPr>
          <w:rFonts w:ascii="Times New Roman" w:hAnsi="Times New Roman" w:cs="Times New Roman"/>
          <w:sz w:val="28"/>
          <w:szCs w:val="28"/>
        </w:rPr>
        <w:t xml:space="preserve"> Các trường tư thục được phân cấp, tự chủ về tài chính, học phí;</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w:t>
      </w:r>
      <w:r w:rsidRPr="00292670">
        <w:rPr>
          <w:rFonts w:ascii="Times New Roman" w:hAnsi="Times New Roman" w:cs="Times New Roman"/>
          <w:sz w:val="28"/>
          <w:szCs w:val="28"/>
        </w:rPr>
        <w:t xml:space="preserve"> Các trường công lập chịu sự điều tiết của NN với tư cách là chủ sở hữu, khác với điều tiết các trường với tư cách quản lý NN.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Mức độ tự chủ của các cơ sở cung cấp dịch vụ giáo dục được xác định trên một số lĩnh vực cụ thể.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Một số lĩnh vực tự chủ ( các trường đại học) bao gồm: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trong việc xây dựng trường;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chỉ tiêu tuyển sinh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phương thức tuyển sinh;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trong việc mở ngành, chuyên ngành đào tạo;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trong việc lựa chọn chương trình, giáo trình;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trong vấn đề nhân sự;</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trong vấn đề học phí.</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*Phân cấp hay trao quyền tự chủ cho giáo dục đại học là đòi hỏi tất yếu. Và đó cũng là thông lệ chung của tất cả các nước trên thế giới.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sz w:val="28"/>
          <w:szCs w:val="28"/>
        </w:rPr>
        <w:t>2. Phân cấp quản lý trong lĩnh vực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 xml:space="preserve">Y tế cũng là một lĩnh vực cung cấp dịch vụ đặc biệt cho mọi công dân.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lastRenderedPageBreak/>
        <w:t xml:space="preserve">- </w:t>
      </w:r>
      <w:r w:rsidRPr="00292670">
        <w:rPr>
          <w:rFonts w:ascii="Times New Roman" w:hAnsi="Times New Roman" w:cs="Times New Roman"/>
          <w:sz w:val="28"/>
          <w:szCs w:val="28"/>
        </w:rPr>
        <w:t>Nghiên cứu phân cấp quản lý trong lĩnh vực y tế cũng chính là phân cấp quản lý NN đối với hoạt động cung cấp dịch vụ y tế và trao quyền tự chủ tự quyết cho các cơ sở cung cấp dịch vụ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2.1 Cơ sở pháp luật phân cấp quản lý NN các hoạt động cung cấp dịch vụ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Hai đạo luật cơ bản gắn liền với hoạt động cung cấp dịch vụ y tế là Luật bảo vệ sức khỏe nhân dân ngày 30 tháng 6 năm 1989 và Luật Khám bệnh,chữa bệnh ngày 01/01/2011.</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2.2. Phân cấp quản lý NN các hoạt động cung cấp dịch vụ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Bộ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Hội đồng Nhân dân các cấp:</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Ủy ban Nhân dân các cấp:</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Sở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Phòng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 xml:space="preserve">2.3. Hệ thống cơ sở khám chữa bệnh và trao quyền tự chủ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a</w:t>
      </w:r>
      <w:r w:rsidRPr="00292670">
        <w:rPr>
          <w:rFonts w:ascii="Times New Roman" w:hAnsi="Times New Roman" w:cs="Times New Roman"/>
          <w:b/>
          <w:bCs/>
          <w:i/>
          <w:iCs/>
          <w:sz w:val="28"/>
          <w:szCs w:val="28"/>
          <w:lang w:val="vi-VN"/>
        </w:rPr>
        <w:t xml:space="preserve">) </w:t>
      </w:r>
      <w:r w:rsidRPr="00292670">
        <w:rPr>
          <w:rFonts w:ascii="Times New Roman" w:hAnsi="Times New Roman" w:cs="Times New Roman"/>
          <w:b/>
          <w:bCs/>
          <w:i/>
          <w:iCs/>
          <w:sz w:val="28"/>
          <w:szCs w:val="28"/>
        </w:rPr>
        <w:t>Các hình thức tổ chức cơ sở khám bệnh, chữa bệnh: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Bệnh viện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Cơ sở giám định y khoa;</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Phòng khám đa khoa;</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Phòng khám chuyên khoa, bác sỹ gia đình;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Phòng chẩn trị y học cổ truyền;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Nhà hộ sinh;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Cơ sở chẩn đoán;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Cơ sở dịch vụ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Trạm y tế cấp xã và tương đương;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 Hệ thống cơ sở khám bệnh, chữa bệnh của NN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Tuyến Trung ương;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Tuyến tỉnh, thành phố trực thuộc trung ương;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Tuyến huyện, quận, thị xã, thành phố thuộc tỉnh;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Tuyến xã, phường, thị trấn.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Đối với các cơ sở y tế ngoài NN, các cơ quan quản lý NN chỉ thực hiện những nội dung quản lý NN còn hoạt động cung cấp dịch vụ của họ hoàn toàn được tự chủ theo cơ chế thị trường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c) Phân cấp chuyên môn: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Cách tổ chức phân cấp chuyên môn mang tính thứ bậc;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Chỉ đạo chuyên môn;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Hỗ trợ chuyên môn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Phân cấp loại hình dịch vụ y tế cho các cơ sở y tế NN đang là vấn đề quan tâm của cả các cấp quản lý và người cung cấp dịch vụ lẫn người nhận dịch vụ.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Phân cấp các loại hình dịch vụ y tế trong hệ thống các cơ sở y tế nhà nước được mô tả ở sơ đồ 15.</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sz w:val="28"/>
          <w:szCs w:val="28"/>
        </w:rPr>
        <w:t>3. Nâng cao hiệu quả phân cấp quản lý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Phân cấp quản lý NN trong hệ thống các cơ quan quản lý NN trên lĩnh vực văn hóa - xã hội nói chung, cũng như Y tế, giáo dục nói riêng tập trung vào nhiệm vụ quản lý NN các hoạt động cung cấp dịch vụ liên quan đến văn hóa - xã hội. Không phân biệt chủ thể cung cấp dịch vụ này là của NN hay của các thành phần kinh tế khác ( khu vực tư</w:t>
      </w:r>
      <w:r w:rsidRPr="00292670">
        <w:rPr>
          <w:rFonts w:ascii="Times New Roman" w:hAnsi="Times New Roman" w:cs="Times New Roman"/>
          <w:sz w:val="28"/>
          <w:szCs w:val="28"/>
          <w:lang w:val="vi-VN"/>
        </w:rPr>
        <w:t>)</w:t>
      </w:r>
      <w:r w:rsidRPr="00292670">
        <w:rPr>
          <w:rFonts w:ascii="Times New Roman" w:hAnsi="Times New Roman" w:cs="Times New Roman"/>
          <w:sz w:val="28"/>
          <w:szCs w:val="28"/>
        </w:rPr>
        <w:t xml:space="preserve">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Phân cấp hoạt động cung cấp dịch vụ công trên lĩnh vực văn hóa- xã hội cũng đồng nghĩa với việc phân cấp phân bổ ngân sách NN dành cho loại dịch vụ này.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Muốn làm tốt phân cấp cung cấp dịch vụ y tế nói riêng và dịch vụ văn hóa - xã hội nói chung cần tạo ra mặt bằng cung cấp dịch vụ khá đồng đều giữa các tuyến và điều đó không cần phân cấp mang tính áp đặt, tự động xã hội sẽ thực hiện phân cấp lựa chọn chính mình nơi muốn nhận được cung cấp dịch vụ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sz w:val="28"/>
          <w:szCs w:val="28"/>
        </w:rPr>
        <w:t>4.Theo dõi và đánh giá phân cấp quản lý trong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4.1. Tiêu chí đánh giá:</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Số lượng các cơ quan NN liên quan đến quản lý NN trên lĩnh vực văn hóa - xã hội gia tăng hay giảm.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Số lượng các tổ chức cung cấp dịch vụ công của NN so với các tổ chức  thuộc khu vực tư.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Sự bình đẳng trong việc tiếp cận dịch vụ trên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Số lượng người nghèo được tiếp cận đến dịch vụ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4.2 Theo dõi, đánh giá</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Thống kê số liệu liên quan đến tiếp cận dịch vụ của công dân trong quá trình phân cấp.</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xml:space="preserve">- Thống kê sự thay đổi cơ cấu tổ chức bộ máy của hệ thống các cơ quan quản lý NN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Thống kê nhiệm vụ và quyền hạn của từng cơ quan NN trong quản lý NN</w:t>
      </w: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trên khu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 Phân tích để tìm kiếm nguyên nhân;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Phân tích để chuyển giao theo trật tự bảng 3 căn cứ vào việc xác định số lượng chất lượng, chi phí, giá cả dịch vụ được cung cấp bởi các chủ thể khác nhau.</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4.3 Xây dựng khung k</w:t>
      </w:r>
      <w:r w:rsidRPr="00292670">
        <w:rPr>
          <w:rFonts w:ascii="Times New Roman" w:hAnsi="Times New Roman" w:cs="Times New Roman"/>
          <w:b/>
          <w:bCs/>
          <w:i/>
          <w:iCs/>
          <w:sz w:val="28"/>
          <w:szCs w:val="28"/>
          <w:lang w:val="vi-VN"/>
        </w:rPr>
        <w:t>ế</w:t>
      </w:r>
      <w:r w:rsidRPr="00292670">
        <w:rPr>
          <w:rFonts w:ascii="Times New Roman" w:hAnsi="Times New Roman" w:cs="Times New Roman"/>
          <w:b/>
          <w:bCs/>
          <w:i/>
          <w:iCs/>
          <w:sz w:val="28"/>
          <w:szCs w:val="28"/>
        </w:rPr>
        <w:t xml:space="preserve"> hoạch theo dõi đánh giá</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Xây dựng khung kế hoạch và theo dõi đánh giá phân cấp được trình bày cho tất cả mọi loại phân cấp, không phân biệt cấp nào và thuộc lĩnh vực nào.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Để thực hiện một cách triệt để phân cấp trên từng lĩnh vực (kinh tế, tài chính, văn hóa, xã hội, v.v.), tư duy về kế hoạch phân cấp sẽ được xem xét mang tính tổng thể, dài hạn và trên tất cả các lĩnh vực.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Khi lập kế hoạch có thể lựa chọn cho 1 lĩnh vực cụ thể để xác định những công việc phải làm.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Xây dựng khung kế hoạch và theo dõi đánh giá phân cấp được trình bày cho tất cả mọi loại phân cấp, không phân biệt cấp nào và thuộc lĩnh vực nào.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Để thực hiện một cách triệt để phân cấp trên từng lĩnh vực (kinh tế, tài chính, văn hóa, xã hội, v.v.), tư duy về kế hoạch phân cấp sẽ được xem xét mang tính tổng thể, dài hạn và trên tất cả các lĩnh vực.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Khi lập kế hoạch có thể lựa chọn cho 1 lĩnh vực cụ thể để xác định những công việc phải làm.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5</w:t>
      </w:r>
      <w:r w:rsidRPr="00292670">
        <w:rPr>
          <w:rFonts w:ascii="Times New Roman" w:hAnsi="Times New Roman" w:cs="Times New Roman"/>
          <w:sz w:val="28"/>
          <w:szCs w:val="28"/>
        </w:rPr>
        <w:t>: Đánh giá hiệu quả chuyển giao: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lastRenderedPageBreak/>
        <w:t>Bước 6</w:t>
      </w:r>
      <w:r w:rsidRPr="00292670">
        <w:rPr>
          <w:rFonts w:ascii="Times New Roman" w:hAnsi="Times New Roman" w:cs="Times New Roman"/>
          <w:sz w:val="28"/>
          <w:szCs w:val="28"/>
        </w:rPr>
        <w:t>: Trình cấp có thẩm quyền phê duyệt: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7</w:t>
      </w:r>
      <w:r w:rsidRPr="00292670">
        <w:rPr>
          <w:rFonts w:ascii="Times New Roman" w:hAnsi="Times New Roman" w:cs="Times New Roman"/>
          <w:sz w:val="28"/>
          <w:szCs w:val="28"/>
        </w:rPr>
        <w:t>: Xác định những yêu cầu hỗ trợ bước đầu để thực hiện chuyển giao:</w:t>
      </w:r>
    </w:p>
    <w:p w:rsidR="0039491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8</w:t>
      </w:r>
      <w:r w:rsidRPr="00292670">
        <w:rPr>
          <w:rFonts w:ascii="Times New Roman" w:hAnsi="Times New Roman" w:cs="Times New Roman"/>
          <w:sz w:val="28"/>
          <w:szCs w:val="28"/>
        </w:rPr>
        <w:t>: Giám sát đánh giá việc thực hiện công việc chuyển giao:</w:t>
      </w:r>
    </w:p>
    <w:p w:rsidR="00292670" w:rsidRPr="00292670" w:rsidRDefault="00292670" w:rsidP="00292670">
      <w:pPr>
        <w:spacing w:line="360" w:lineRule="auto"/>
        <w:jc w:val="both"/>
        <w:rPr>
          <w:rFonts w:ascii="Times New Roman" w:hAnsi="Times New Roman" w:cs="Times New Roman"/>
          <w:b/>
          <w:sz w:val="28"/>
          <w:szCs w:val="28"/>
        </w:rPr>
      </w:pPr>
      <w:r w:rsidRPr="00292670">
        <w:rPr>
          <w:rFonts w:ascii="Times New Roman" w:hAnsi="Times New Roman" w:cs="Times New Roman"/>
          <w:b/>
          <w:sz w:val="28"/>
          <w:szCs w:val="28"/>
        </w:rPr>
        <w:t>III. KỸ NĂNG PHÂN CẤP QUẢN LÝ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 xml:space="preserve">Phòng cấp huyện là một đầu mối quan trọng, độc lập thuộc </w:t>
      </w:r>
      <w:r w:rsidRPr="00292670">
        <w:rPr>
          <w:rFonts w:ascii="Times New Roman" w:hAnsi="Times New Roman" w:cs="Times New Roman"/>
          <w:sz w:val="28"/>
          <w:szCs w:val="28"/>
          <w:lang w:val="vi-VN"/>
        </w:rPr>
        <w:t>UBND</w:t>
      </w:r>
      <w:r w:rsidRPr="00292670">
        <w:rPr>
          <w:rFonts w:ascii="Times New Roman" w:hAnsi="Times New Roman" w:cs="Times New Roman"/>
          <w:sz w:val="28"/>
          <w:szCs w:val="28"/>
        </w:rPr>
        <w:t xml:space="preserve"> cấp huyện.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 xml:space="preserve">Là người đứng đầu một cơ quan chuyên môn thuộc huyện, nhiệm vụ của phòng do </w:t>
      </w:r>
      <w:r w:rsidRPr="00292670">
        <w:rPr>
          <w:rFonts w:ascii="Times New Roman" w:hAnsi="Times New Roman" w:cs="Times New Roman"/>
          <w:sz w:val="28"/>
          <w:szCs w:val="28"/>
          <w:lang w:val="vi-VN"/>
        </w:rPr>
        <w:t>UBND</w:t>
      </w:r>
      <w:r w:rsidRPr="00292670">
        <w:rPr>
          <w:rFonts w:ascii="Times New Roman" w:hAnsi="Times New Roman" w:cs="Times New Roman"/>
          <w:sz w:val="28"/>
          <w:szCs w:val="28"/>
        </w:rPr>
        <w:t xml:space="preserve"> giao, nhưng đồng thời cũng theo văn bản pháp luật NN cấp trên quy định.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Phòng có tư cách pháp nhân, có con dấu (trong tiến trình cải cách HC theo một cửa, các phòng đang theo hướng: Một cửa, một dấu và có nơi không còn dấu phòng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Phòng cấp sở là cơ quan thuộc sở, do sở quyết  định, tính pháp luật của p</w:t>
      </w:r>
      <w:r w:rsidRPr="00292670">
        <w:rPr>
          <w:rFonts w:ascii="Times New Roman" w:hAnsi="Times New Roman" w:cs="Times New Roman"/>
          <w:sz w:val="28"/>
          <w:szCs w:val="28"/>
          <w:lang w:val="vi-VN"/>
        </w:rPr>
        <w:t>h</w:t>
      </w:r>
      <w:r w:rsidRPr="00292670">
        <w:rPr>
          <w:rFonts w:ascii="Times New Roman" w:hAnsi="Times New Roman" w:cs="Times New Roman"/>
          <w:sz w:val="28"/>
          <w:szCs w:val="28"/>
        </w:rPr>
        <w:t>òng hạn chế;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Phòng cấp bộ: trước đây cấp bộ không có phòng. Hiện nay cấp phòng của Bộ có tính pháp lý hạn chế.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Tùy thuộc vào vị trí của phòng để nghiên cứu phân cấp trong nội bộ cấp phòng.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 xml:space="preserve">Nếu xem phòng như là một tổ chức con nằm trong tổ chức lớn, thì mọi phòng đều có nhiệm vụ và quyền hạn được quy định trong văn bản thành lập ( mức độ pháp lý của quy định có thể khác nhau).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Phòng luôn là cơ quan thẩm quyền riêng, hoạt động theo cơ chế thủ trưởng ( trưởng phòng ) và do đó có thể áp dụng mô hình ủy quyền để nghiên cứu phân cấp trong nội bộ phòng.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lastRenderedPageBreak/>
        <w:t xml:space="preserve">- </w:t>
      </w:r>
      <w:r w:rsidRPr="00292670">
        <w:rPr>
          <w:rFonts w:ascii="Times New Roman" w:hAnsi="Times New Roman" w:cs="Times New Roman"/>
          <w:sz w:val="28"/>
          <w:szCs w:val="28"/>
        </w:rPr>
        <w:t>Nội dung nghiên cứu phân cấp quản lý cấp phòng được áp dụng chung cho mọi loại phòng và trên tất cả các lĩnh vực.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Phân cấp cấp phòng được tiếp cận theo hai hướng: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w:t>
      </w:r>
      <w:r w:rsidRPr="00292670">
        <w:rPr>
          <w:rFonts w:ascii="Times New Roman" w:hAnsi="Times New Roman" w:cs="Times New Roman"/>
          <w:b/>
          <w:bCs/>
          <w:i/>
          <w:iCs/>
          <w:sz w:val="28"/>
          <w:szCs w:val="28"/>
        </w:rPr>
        <w:t xml:space="preserve">Một là, </w:t>
      </w:r>
      <w:r w:rsidRPr="00292670">
        <w:rPr>
          <w:rFonts w:ascii="Times New Roman" w:hAnsi="Times New Roman" w:cs="Times New Roman"/>
          <w:sz w:val="28"/>
          <w:szCs w:val="28"/>
        </w:rPr>
        <w:t>đánh giá xem xét nhiệm vụ và quyền hạn được giao cho cấp phòng;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Đánh giá này sẽ thực hiện theo 4 bước sau:</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1</w:t>
      </w:r>
      <w:r w:rsidRPr="00292670">
        <w:rPr>
          <w:rFonts w:ascii="Times New Roman" w:hAnsi="Times New Roman" w:cs="Times New Roman"/>
          <w:sz w:val="28"/>
          <w:szCs w:val="28"/>
        </w:rPr>
        <w:t>: Căn cứ vào nhiệm vụ và quyền hạn được giao cho cấp phòng hiện nay:</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được giao mang tính thường xuyên;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quyền hạn được trao;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được giao mang tính chất ủy quyền của cấp trên.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1</w:t>
      </w:r>
      <w:r w:rsidRPr="00292670">
        <w:rPr>
          <w:rFonts w:ascii="Times New Roman" w:hAnsi="Times New Roman" w:cs="Times New Roman"/>
          <w:sz w:val="28"/>
          <w:szCs w:val="28"/>
        </w:rPr>
        <w:t>: Căn cứ vào nhiệm vụ và quyền hạn được giao cho cấp phòng hiện nay:</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được giao mang tính thường xuyên;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quyền hạn được trao;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được giao mang tính chất ủy quyền của cấp trên.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3:</w:t>
      </w:r>
      <w:r w:rsidRPr="00292670">
        <w:rPr>
          <w:rFonts w:ascii="Times New Roman" w:hAnsi="Times New Roman" w:cs="Times New Roman"/>
          <w:sz w:val="28"/>
          <w:szCs w:val="28"/>
        </w:rPr>
        <w:t xml:space="preserve"> Đánh giá việc thực hiện các nhiệm vụ được giao: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thực hiện tốt;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thực hiện khó khăn;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Nguyên nhân.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4</w:t>
      </w:r>
      <w:r w:rsidRPr="00292670">
        <w:rPr>
          <w:rFonts w:ascii="Times New Roman" w:hAnsi="Times New Roman" w:cs="Times New Roman"/>
          <w:sz w:val="28"/>
          <w:szCs w:val="28"/>
        </w:rPr>
        <w:t>: Kiến nghị phân cấp:</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nào tiếp tục giao;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w:t>
      </w:r>
      <w:r w:rsidRPr="00292670">
        <w:rPr>
          <w:rFonts w:ascii="Times New Roman" w:hAnsi="Times New Roman" w:cs="Times New Roman"/>
          <w:sz w:val="28"/>
          <w:szCs w:val="28"/>
          <w:lang w:val="vi-VN"/>
        </w:rPr>
        <w:t>oại</w:t>
      </w:r>
      <w:r w:rsidRPr="00292670">
        <w:rPr>
          <w:rFonts w:ascii="Times New Roman" w:hAnsi="Times New Roman" w:cs="Times New Roman"/>
          <w:sz w:val="28"/>
          <w:szCs w:val="28"/>
        </w:rPr>
        <w:t xml:space="preserve"> nhiệm vụ có thể giao thêm;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Những loại nhiệm vụ nào cần chuyển giao trả lại cho cấp trên;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quyền hạn nào cần được giao thêm.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w:t>
      </w:r>
      <w:r w:rsidRPr="00292670">
        <w:rPr>
          <w:rFonts w:ascii="Times New Roman" w:hAnsi="Times New Roman" w:cs="Times New Roman"/>
          <w:b/>
          <w:bCs/>
          <w:i/>
          <w:iCs/>
          <w:sz w:val="28"/>
          <w:szCs w:val="28"/>
        </w:rPr>
        <w:t>Hai là</w:t>
      </w:r>
      <w:r w:rsidRPr="00292670">
        <w:rPr>
          <w:rFonts w:ascii="Times New Roman" w:hAnsi="Times New Roman" w:cs="Times New Roman"/>
          <w:sz w:val="28"/>
          <w:szCs w:val="28"/>
        </w:rPr>
        <w:t>, xây dựng mô hình ủy quyền của Trưởng phòng cho nhân viên.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Uỷ quyền cho nhân viên của p</w:t>
      </w:r>
      <w:r w:rsidRPr="00292670">
        <w:rPr>
          <w:rFonts w:ascii="Times New Roman" w:hAnsi="Times New Roman" w:cs="Times New Roman"/>
          <w:sz w:val="28"/>
          <w:szCs w:val="28"/>
          <w:lang w:val="vi-VN"/>
        </w:rPr>
        <w:t>h</w:t>
      </w:r>
      <w:r w:rsidRPr="00292670">
        <w:rPr>
          <w:rFonts w:ascii="Times New Roman" w:hAnsi="Times New Roman" w:cs="Times New Roman"/>
          <w:sz w:val="28"/>
          <w:szCs w:val="28"/>
        </w:rPr>
        <w:t>òng các nhiệm vụ vốn là của trưởng phòng, nhưng có thể trao cho nhân viên làm thay trên nguyên tắc tự nguyện.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Lợi ích của việc ủy quyền cho nhân viên làm thay:</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Ủy quyền để sử dụng thời gian của bạn tốt hơn;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Ủy quyên để giúp xây dựng nhân viên của bạn.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Lợi ích của ủy quyền đối với trưởng phòng: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Giúp người ủy quyền có nhiều thời gian để tập trung vào công việc quản lý như lập lế hoạch, ra quyết định, giám sát.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Giúp người ủy quyền ra được những quyết định chính xác hơn do có nhiều thông tin hơn từ cấp dưới.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Tăng năng suất, hiệu quả công việc;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Có thêm những chỉ tiêu cụ thể để đánh giá kết quả công việc của nhân viên cấp dưới.</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Lợi ích của việc ủy quyền đối với nhân viên: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Nâng cao tinh thần của nhân viên, khuyến khích nhân vien làm việc hiệu quả hơn;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Tạo cơ hội để nhân viên sử dụng những kiến thức kinh nghiệm của mình;</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T</w:t>
      </w:r>
      <w:r w:rsidRPr="00292670">
        <w:rPr>
          <w:rFonts w:ascii="Times New Roman" w:hAnsi="Times New Roman" w:cs="Times New Roman"/>
          <w:sz w:val="28"/>
          <w:szCs w:val="28"/>
          <w:lang w:val="vi-VN"/>
        </w:rPr>
        <w:t>ạ</w:t>
      </w:r>
      <w:r w:rsidRPr="00292670">
        <w:rPr>
          <w:rFonts w:ascii="Times New Roman" w:hAnsi="Times New Roman" w:cs="Times New Roman"/>
          <w:sz w:val="28"/>
          <w:szCs w:val="28"/>
        </w:rPr>
        <w:t>o cơ hội để nhân viên phát triển và thi thêm kinh nghiệm, kiến thức qua quá trình trực tiếp giải quyết công việc.</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Nguyên tắc ủy quyền: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Chỉ ủy quyền những nhiệm vụ được ủy quyền;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Đánh giá năng lực của nh</w:t>
      </w:r>
      <w:r w:rsidRPr="00292670">
        <w:rPr>
          <w:rFonts w:ascii="Times New Roman" w:hAnsi="Times New Roman" w:cs="Times New Roman"/>
          <w:sz w:val="28"/>
          <w:szCs w:val="28"/>
          <w:lang w:val="vi-VN"/>
        </w:rPr>
        <w:t>â</w:t>
      </w:r>
      <w:r w:rsidRPr="00292670">
        <w:rPr>
          <w:rFonts w:ascii="Times New Roman" w:hAnsi="Times New Roman" w:cs="Times New Roman"/>
          <w:sz w:val="28"/>
          <w:szCs w:val="28"/>
        </w:rPr>
        <w:t>n viên có đủ để đảm nhận;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nguyện đảm nhận, không ép buộc;</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Ủy quyền nhưng không từ bỏ kiểm soát và trách nhiệm.</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điều cần chú ý để ủy quyền hiệu quả:</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Ủy quyền  quá muộn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Thường “ai làm giỏi, tốt thì đổ lên đầu họ”;</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Không đúng người đúng việc;</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Không phù hợp với năng lực chuyên môn;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Người được ủy quyền không được giải thích cụ thể về nhiệm vụ và quyền hạn nên không tự tin;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Can thiệp quá sâu, quá nhiều sau khi ủy quyền;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người có liên quan không được thông báo về “người được ủy quyền” nên không hợp tác, phối hợp;</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Ủy quyền theo cách phó mặc.</w:t>
      </w:r>
    </w:p>
    <w:p w:rsidR="00506904" w:rsidRPr="00292670" w:rsidRDefault="00292670" w:rsidP="00292670">
      <w:pPr>
        <w:jc w:val="center"/>
        <w:rPr>
          <w:rFonts w:ascii="Times New Roman" w:hAnsi="Times New Roman" w:cs="Times New Roman"/>
          <w:sz w:val="28"/>
          <w:szCs w:val="28"/>
        </w:rPr>
      </w:pPr>
      <w:r>
        <w:rPr>
          <w:rFonts w:ascii="Times New Roman" w:hAnsi="Times New Roman" w:cs="Times New Roman"/>
          <w:sz w:val="28"/>
          <w:szCs w:val="28"/>
        </w:rPr>
        <w:t>----- HẾT ----</w:t>
      </w:r>
    </w:p>
    <w:sectPr w:rsidR="00506904" w:rsidRPr="002926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4910"/>
    <w:rsid w:val="00175CCF"/>
    <w:rsid w:val="00292670"/>
    <w:rsid w:val="00394910"/>
    <w:rsid w:val="0099445F"/>
    <w:rsid w:val="00CA3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6B1A1B-69E9-8348-9176-59E8B86A8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574">
      <w:bodyDiv w:val="1"/>
      <w:marLeft w:val="0"/>
      <w:marRight w:val="0"/>
      <w:marTop w:val="0"/>
      <w:marBottom w:val="0"/>
      <w:divBdr>
        <w:top w:val="none" w:sz="0" w:space="0" w:color="auto"/>
        <w:left w:val="none" w:sz="0" w:space="0" w:color="auto"/>
        <w:bottom w:val="none" w:sz="0" w:space="0" w:color="auto"/>
        <w:right w:val="none" w:sz="0" w:space="0" w:color="auto"/>
      </w:divBdr>
    </w:div>
    <w:div w:id="33652165">
      <w:bodyDiv w:val="1"/>
      <w:marLeft w:val="0"/>
      <w:marRight w:val="0"/>
      <w:marTop w:val="0"/>
      <w:marBottom w:val="0"/>
      <w:divBdr>
        <w:top w:val="none" w:sz="0" w:space="0" w:color="auto"/>
        <w:left w:val="none" w:sz="0" w:space="0" w:color="auto"/>
        <w:bottom w:val="none" w:sz="0" w:space="0" w:color="auto"/>
        <w:right w:val="none" w:sz="0" w:space="0" w:color="auto"/>
      </w:divBdr>
    </w:div>
    <w:div w:id="71437419">
      <w:bodyDiv w:val="1"/>
      <w:marLeft w:val="0"/>
      <w:marRight w:val="0"/>
      <w:marTop w:val="0"/>
      <w:marBottom w:val="0"/>
      <w:divBdr>
        <w:top w:val="none" w:sz="0" w:space="0" w:color="auto"/>
        <w:left w:val="none" w:sz="0" w:space="0" w:color="auto"/>
        <w:bottom w:val="none" w:sz="0" w:space="0" w:color="auto"/>
        <w:right w:val="none" w:sz="0" w:space="0" w:color="auto"/>
      </w:divBdr>
    </w:div>
    <w:div w:id="108209970">
      <w:bodyDiv w:val="1"/>
      <w:marLeft w:val="0"/>
      <w:marRight w:val="0"/>
      <w:marTop w:val="0"/>
      <w:marBottom w:val="0"/>
      <w:divBdr>
        <w:top w:val="none" w:sz="0" w:space="0" w:color="auto"/>
        <w:left w:val="none" w:sz="0" w:space="0" w:color="auto"/>
        <w:bottom w:val="none" w:sz="0" w:space="0" w:color="auto"/>
        <w:right w:val="none" w:sz="0" w:space="0" w:color="auto"/>
      </w:divBdr>
    </w:div>
    <w:div w:id="147938710">
      <w:bodyDiv w:val="1"/>
      <w:marLeft w:val="0"/>
      <w:marRight w:val="0"/>
      <w:marTop w:val="0"/>
      <w:marBottom w:val="0"/>
      <w:divBdr>
        <w:top w:val="none" w:sz="0" w:space="0" w:color="auto"/>
        <w:left w:val="none" w:sz="0" w:space="0" w:color="auto"/>
        <w:bottom w:val="none" w:sz="0" w:space="0" w:color="auto"/>
        <w:right w:val="none" w:sz="0" w:space="0" w:color="auto"/>
      </w:divBdr>
    </w:div>
    <w:div w:id="231738376">
      <w:bodyDiv w:val="1"/>
      <w:marLeft w:val="0"/>
      <w:marRight w:val="0"/>
      <w:marTop w:val="0"/>
      <w:marBottom w:val="0"/>
      <w:divBdr>
        <w:top w:val="none" w:sz="0" w:space="0" w:color="auto"/>
        <w:left w:val="none" w:sz="0" w:space="0" w:color="auto"/>
        <w:bottom w:val="none" w:sz="0" w:space="0" w:color="auto"/>
        <w:right w:val="none" w:sz="0" w:space="0" w:color="auto"/>
      </w:divBdr>
    </w:div>
    <w:div w:id="238247861">
      <w:bodyDiv w:val="1"/>
      <w:marLeft w:val="0"/>
      <w:marRight w:val="0"/>
      <w:marTop w:val="0"/>
      <w:marBottom w:val="0"/>
      <w:divBdr>
        <w:top w:val="none" w:sz="0" w:space="0" w:color="auto"/>
        <w:left w:val="none" w:sz="0" w:space="0" w:color="auto"/>
        <w:bottom w:val="none" w:sz="0" w:space="0" w:color="auto"/>
        <w:right w:val="none" w:sz="0" w:space="0" w:color="auto"/>
      </w:divBdr>
    </w:div>
    <w:div w:id="321005678">
      <w:bodyDiv w:val="1"/>
      <w:marLeft w:val="0"/>
      <w:marRight w:val="0"/>
      <w:marTop w:val="0"/>
      <w:marBottom w:val="0"/>
      <w:divBdr>
        <w:top w:val="none" w:sz="0" w:space="0" w:color="auto"/>
        <w:left w:val="none" w:sz="0" w:space="0" w:color="auto"/>
        <w:bottom w:val="none" w:sz="0" w:space="0" w:color="auto"/>
        <w:right w:val="none" w:sz="0" w:space="0" w:color="auto"/>
      </w:divBdr>
    </w:div>
    <w:div w:id="336617134">
      <w:bodyDiv w:val="1"/>
      <w:marLeft w:val="0"/>
      <w:marRight w:val="0"/>
      <w:marTop w:val="0"/>
      <w:marBottom w:val="0"/>
      <w:divBdr>
        <w:top w:val="none" w:sz="0" w:space="0" w:color="auto"/>
        <w:left w:val="none" w:sz="0" w:space="0" w:color="auto"/>
        <w:bottom w:val="none" w:sz="0" w:space="0" w:color="auto"/>
        <w:right w:val="none" w:sz="0" w:space="0" w:color="auto"/>
      </w:divBdr>
    </w:div>
    <w:div w:id="341785191">
      <w:bodyDiv w:val="1"/>
      <w:marLeft w:val="0"/>
      <w:marRight w:val="0"/>
      <w:marTop w:val="0"/>
      <w:marBottom w:val="0"/>
      <w:divBdr>
        <w:top w:val="none" w:sz="0" w:space="0" w:color="auto"/>
        <w:left w:val="none" w:sz="0" w:space="0" w:color="auto"/>
        <w:bottom w:val="none" w:sz="0" w:space="0" w:color="auto"/>
        <w:right w:val="none" w:sz="0" w:space="0" w:color="auto"/>
      </w:divBdr>
    </w:div>
    <w:div w:id="376319534">
      <w:bodyDiv w:val="1"/>
      <w:marLeft w:val="0"/>
      <w:marRight w:val="0"/>
      <w:marTop w:val="0"/>
      <w:marBottom w:val="0"/>
      <w:divBdr>
        <w:top w:val="none" w:sz="0" w:space="0" w:color="auto"/>
        <w:left w:val="none" w:sz="0" w:space="0" w:color="auto"/>
        <w:bottom w:val="none" w:sz="0" w:space="0" w:color="auto"/>
        <w:right w:val="none" w:sz="0" w:space="0" w:color="auto"/>
      </w:divBdr>
    </w:div>
    <w:div w:id="383794512">
      <w:bodyDiv w:val="1"/>
      <w:marLeft w:val="0"/>
      <w:marRight w:val="0"/>
      <w:marTop w:val="0"/>
      <w:marBottom w:val="0"/>
      <w:divBdr>
        <w:top w:val="none" w:sz="0" w:space="0" w:color="auto"/>
        <w:left w:val="none" w:sz="0" w:space="0" w:color="auto"/>
        <w:bottom w:val="none" w:sz="0" w:space="0" w:color="auto"/>
        <w:right w:val="none" w:sz="0" w:space="0" w:color="auto"/>
      </w:divBdr>
    </w:div>
    <w:div w:id="392001814">
      <w:bodyDiv w:val="1"/>
      <w:marLeft w:val="0"/>
      <w:marRight w:val="0"/>
      <w:marTop w:val="0"/>
      <w:marBottom w:val="0"/>
      <w:divBdr>
        <w:top w:val="none" w:sz="0" w:space="0" w:color="auto"/>
        <w:left w:val="none" w:sz="0" w:space="0" w:color="auto"/>
        <w:bottom w:val="none" w:sz="0" w:space="0" w:color="auto"/>
        <w:right w:val="none" w:sz="0" w:space="0" w:color="auto"/>
      </w:divBdr>
    </w:div>
    <w:div w:id="482699776">
      <w:bodyDiv w:val="1"/>
      <w:marLeft w:val="0"/>
      <w:marRight w:val="0"/>
      <w:marTop w:val="0"/>
      <w:marBottom w:val="0"/>
      <w:divBdr>
        <w:top w:val="none" w:sz="0" w:space="0" w:color="auto"/>
        <w:left w:val="none" w:sz="0" w:space="0" w:color="auto"/>
        <w:bottom w:val="none" w:sz="0" w:space="0" w:color="auto"/>
        <w:right w:val="none" w:sz="0" w:space="0" w:color="auto"/>
      </w:divBdr>
    </w:div>
    <w:div w:id="518589425">
      <w:bodyDiv w:val="1"/>
      <w:marLeft w:val="0"/>
      <w:marRight w:val="0"/>
      <w:marTop w:val="0"/>
      <w:marBottom w:val="0"/>
      <w:divBdr>
        <w:top w:val="none" w:sz="0" w:space="0" w:color="auto"/>
        <w:left w:val="none" w:sz="0" w:space="0" w:color="auto"/>
        <w:bottom w:val="none" w:sz="0" w:space="0" w:color="auto"/>
        <w:right w:val="none" w:sz="0" w:space="0" w:color="auto"/>
      </w:divBdr>
    </w:div>
    <w:div w:id="537661879">
      <w:bodyDiv w:val="1"/>
      <w:marLeft w:val="0"/>
      <w:marRight w:val="0"/>
      <w:marTop w:val="0"/>
      <w:marBottom w:val="0"/>
      <w:divBdr>
        <w:top w:val="none" w:sz="0" w:space="0" w:color="auto"/>
        <w:left w:val="none" w:sz="0" w:space="0" w:color="auto"/>
        <w:bottom w:val="none" w:sz="0" w:space="0" w:color="auto"/>
        <w:right w:val="none" w:sz="0" w:space="0" w:color="auto"/>
      </w:divBdr>
    </w:div>
    <w:div w:id="639000162">
      <w:bodyDiv w:val="1"/>
      <w:marLeft w:val="0"/>
      <w:marRight w:val="0"/>
      <w:marTop w:val="0"/>
      <w:marBottom w:val="0"/>
      <w:divBdr>
        <w:top w:val="none" w:sz="0" w:space="0" w:color="auto"/>
        <w:left w:val="none" w:sz="0" w:space="0" w:color="auto"/>
        <w:bottom w:val="none" w:sz="0" w:space="0" w:color="auto"/>
        <w:right w:val="none" w:sz="0" w:space="0" w:color="auto"/>
      </w:divBdr>
    </w:div>
    <w:div w:id="700516885">
      <w:bodyDiv w:val="1"/>
      <w:marLeft w:val="0"/>
      <w:marRight w:val="0"/>
      <w:marTop w:val="0"/>
      <w:marBottom w:val="0"/>
      <w:divBdr>
        <w:top w:val="none" w:sz="0" w:space="0" w:color="auto"/>
        <w:left w:val="none" w:sz="0" w:space="0" w:color="auto"/>
        <w:bottom w:val="none" w:sz="0" w:space="0" w:color="auto"/>
        <w:right w:val="none" w:sz="0" w:space="0" w:color="auto"/>
      </w:divBdr>
    </w:div>
    <w:div w:id="798231901">
      <w:bodyDiv w:val="1"/>
      <w:marLeft w:val="0"/>
      <w:marRight w:val="0"/>
      <w:marTop w:val="0"/>
      <w:marBottom w:val="0"/>
      <w:divBdr>
        <w:top w:val="none" w:sz="0" w:space="0" w:color="auto"/>
        <w:left w:val="none" w:sz="0" w:space="0" w:color="auto"/>
        <w:bottom w:val="none" w:sz="0" w:space="0" w:color="auto"/>
        <w:right w:val="none" w:sz="0" w:space="0" w:color="auto"/>
      </w:divBdr>
    </w:div>
    <w:div w:id="850341866">
      <w:bodyDiv w:val="1"/>
      <w:marLeft w:val="0"/>
      <w:marRight w:val="0"/>
      <w:marTop w:val="0"/>
      <w:marBottom w:val="0"/>
      <w:divBdr>
        <w:top w:val="none" w:sz="0" w:space="0" w:color="auto"/>
        <w:left w:val="none" w:sz="0" w:space="0" w:color="auto"/>
        <w:bottom w:val="none" w:sz="0" w:space="0" w:color="auto"/>
        <w:right w:val="none" w:sz="0" w:space="0" w:color="auto"/>
      </w:divBdr>
    </w:div>
    <w:div w:id="857163341">
      <w:bodyDiv w:val="1"/>
      <w:marLeft w:val="0"/>
      <w:marRight w:val="0"/>
      <w:marTop w:val="0"/>
      <w:marBottom w:val="0"/>
      <w:divBdr>
        <w:top w:val="none" w:sz="0" w:space="0" w:color="auto"/>
        <w:left w:val="none" w:sz="0" w:space="0" w:color="auto"/>
        <w:bottom w:val="none" w:sz="0" w:space="0" w:color="auto"/>
        <w:right w:val="none" w:sz="0" w:space="0" w:color="auto"/>
      </w:divBdr>
    </w:div>
    <w:div w:id="925774250">
      <w:bodyDiv w:val="1"/>
      <w:marLeft w:val="0"/>
      <w:marRight w:val="0"/>
      <w:marTop w:val="0"/>
      <w:marBottom w:val="0"/>
      <w:divBdr>
        <w:top w:val="none" w:sz="0" w:space="0" w:color="auto"/>
        <w:left w:val="none" w:sz="0" w:space="0" w:color="auto"/>
        <w:bottom w:val="none" w:sz="0" w:space="0" w:color="auto"/>
        <w:right w:val="none" w:sz="0" w:space="0" w:color="auto"/>
      </w:divBdr>
    </w:div>
    <w:div w:id="926769139">
      <w:bodyDiv w:val="1"/>
      <w:marLeft w:val="0"/>
      <w:marRight w:val="0"/>
      <w:marTop w:val="0"/>
      <w:marBottom w:val="0"/>
      <w:divBdr>
        <w:top w:val="none" w:sz="0" w:space="0" w:color="auto"/>
        <w:left w:val="none" w:sz="0" w:space="0" w:color="auto"/>
        <w:bottom w:val="none" w:sz="0" w:space="0" w:color="auto"/>
        <w:right w:val="none" w:sz="0" w:space="0" w:color="auto"/>
      </w:divBdr>
    </w:div>
    <w:div w:id="992677656">
      <w:bodyDiv w:val="1"/>
      <w:marLeft w:val="0"/>
      <w:marRight w:val="0"/>
      <w:marTop w:val="0"/>
      <w:marBottom w:val="0"/>
      <w:divBdr>
        <w:top w:val="none" w:sz="0" w:space="0" w:color="auto"/>
        <w:left w:val="none" w:sz="0" w:space="0" w:color="auto"/>
        <w:bottom w:val="none" w:sz="0" w:space="0" w:color="auto"/>
        <w:right w:val="none" w:sz="0" w:space="0" w:color="auto"/>
      </w:divBdr>
    </w:div>
    <w:div w:id="1005211995">
      <w:bodyDiv w:val="1"/>
      <w:marLeft w:val="0"/>
      <w:marRight w:val="0"/>
      <w:marTop w:val="0"/>
      <w:marBottom w:val="0"/>
      <w:divBdr>
        <w:top w:val="none" w:sz="0" w:space="0" w:color="auto"/>
        <w:left w:val="none" w:sz="0" w:space="0" w:color="auto"/>
        <w:bottom w:val="none" w:sz="0" w:space="0" w:color="auto"/>
        <w:right w:val="none" w:sz="0" w:space="0" w:color="auto"/>
      </w:divBdr>
    </w:div>
    <w:div w:id="1009793574">
      <w:bodyDiv w:val="1"/>
      <w:marLeft w:val="0"/>
      <w:marRight w:val="0"/>
      <w:marTop w:val="0"/>
      <w:marBottom w:val="0"/>
      <w:divBdr>
        <w:top w:val="none" w:sz="0" w:space="0" w:color="auto"/>
        <w:left w:val="none" w:sz="0" w:space="0" w:color="auto"/>
        <w:bottom w:val="none" w:sz="0" w:space="0" w:color="auto"/>
        <w:right w:val="none" w:sz="0" w:space="0" w:color="auto"/>
      </w:divBdr>
    </w:div>
    <w:div w:id="1011957569">
      <w:bodyDiv w:val="1"/>
      <w:marLeft w:val="0"/>
      <w:marRight w:val="0"/>
      <w:marTop w:val="0"/>
      <w:marBottom w:val="0"/>
      <w:divBdr>
        <w:top w:val="none" w:sz="0" w:space="0" w:color="auto"/>
        <w:left w:val="none" w:sz="0" w:space="0" w:color="auto"/>
        <w:bottom w:val="none" w:sz="0" w:space="0" w:color="auto"/>
        <w:right w:val="none" w:sz="0" w:space="0" w:color="auto"/>
      </w:divBdr>
    </w:div>
    <w:div w:id="1030375915">
      <w:bodyDiv w:val="1"/>
      <w:marLeft w:val="0"/>
      <w:marRight w:val="0"/>
      <w:marTop w:val="0"/>
      <w:marBottom w:val="0"/>
      <w:divBdr>
        <w:top w:val="none" w:sz="0" w:space="0" w:color="auto"/>
        <w:left w:val="none" w:sz="0" w:space="0" w:color="auto"/>
        <w:bottom w:val="none" w:sz="0" w:space="0" w:color="auto"/>
        <w:right w:val="none" w:sz="0" w:space="0" w:color="auto"/>
      </w:divBdr>
    </w:div>
    <w:div w:id="1123033212">
      <w:bodyDiv w:val="1"/>
      <w:marLeft w:val="0"/>
      <w:marRight w:val="0"/>
      <w:marTop w:val="0"/>
      <w:marBottom w:val="0"/>
      <w:divBdr>
        <w:top w:val="none" w:sz="0" w:space="0" w:color="auto"/>
        <w:left w:val="none" w:sz="0" w:space="0" w:color="auto"/>
        <w:bottom w:val="none" w:sz="0" w:space="0" w:color="auto"/>
        <w:right w:val="none" w:sz="0" w:space="0" w:color="auto"/>
      </w:divBdr>
    </w:div>
    <w:div w:id="1132138948">
      <w:bodyDiv w:val="1"/>
      <w:marLeft w:val="0"/>
      <w:marRight w:val="0"/>
      <w:marTop w:val="0"/>
      <w:marBottom w:val="0"/>
      <w:divBdr>
        <w:top w:val="none" w:sz="0" w:space="0" w:color="auto"/>
        <w:left w:val="none" w:sz="0" w:space="0" w:color="auto"/>
        <w:bottom w:val="none" w:sz="0" w:space="0" w:color="auto"/>
        <w:right w:val="none" w:sz="0" w:space="0" w:color="auto"/>
      </w:divBdr>
    </w:div>
    <w:div w:id="1141656823">
      <w:bodyDiv w:val="1"/>
      <w:marLeft w:val="0"/>
      <w:marRight w:val="0"/>
      <w:marTop w:val="0"/>
      <w:marBottom w:val="0"/>
      <w:divBdr>
        <w:top w:val="none" w:sz="0" w:space="0" w:color="auto"/>
        <w:left w:val="none" w:sz="0" w:space="0" w:color="auto"/>
        <w:bottom w:val="none" w:sz="0" w:space="0" w:color="auto"/>
        <w:right w:val="none" w:sz="0" w:space="0" w:color="auto"/>
      </w:divBdr>
    </w:div>
    <w:div w:id="1150708052">
      <w:bodyDiv w:val="1"/>
      <w:marLeft w:val="0"/>
      <w:marRight w:val="0"/>
      <w:marTop w:val="0"/>
      <w:marBottom w:val="0"/>
      <w:divBdr>
        <w:top w:val="none" w:sz="0" w:space="0" w:color="auto"/>
        <w:left w:val="none" w:sz="0" w:space="0" w:color="auto"/>
        <w:bottom w:val="none" w:sz="0" w:space="0" w:color="auto"/>
        <w:right w:val="none" w:sz="0" w:space="0" w:color="auto"/>
      </w:divBdr>
    </w:div>
    <w:div w:id="1168867082">
      <w:bodyDiv w:val="1"/>
      <w:marLeft w:val="0"/>
      <w:marRight w:val="0"/>
      <w:marTop w:val="0"/>
      <w:marBottom w:val="0"/>
      <w:divBdr>
        <w:top w:val="none" w:sz="0" w:space="0" w:color="auto"/>
        <w:left w:val="none" w:sz="0" w:space="0" w:color="auto"/>
        <w:bottom w:val="none" w:sz="0" w:space="0" w:color="auto"/>
        <w:right w:val="none" w:sz="0" w:space="0" w:color="auto"/>
      </w:divBdr>
    </w:div>
    <w:div w:id="1194998285">
      <w:bodyDiv w:val="1"/>
      <w:marLeft w:val="0"/>
      <w:marRight w:val="0"/>
      <w:marTop w:val="0"/>
      <w:marBottom w:val="0"/>
      <w:divBdr>
        <w:top w:val="none" w:sz="0" w:space="0" w:color="auto"/>
        <w:left w:val="none" w:sz="0" w:space="0" w:color="auto"/>
        <w:bottom w:val="none" w:sz="0" w:space="0" w:color="auto"/>
        <w:right w:val="none" w:sz="0" w:space="0" w:color="auto"/>
      </w:divBdr>
    </w:div>
    <w:div w:id="1221748033">
      <w:bodyDiv w:val="1"/>
      <w:marLeft w:val="0"/>
      <w:marRight w:val="0"/>
      <w:marTop w:val="0"/>
      <w:marBottom w:val="0"/>
      <w:divBdr>
        <w:top w:val="none" w:sz="0" w:space="0" w:color="auto"/>
        <w:left w:val="none" w:sz="0" w:space="0" w:color="auto"/>
        <w:bottom w:val="none" w:sz="0" w:space="0" w:color="auto"/>
        <w:right w:val="none" w:sz="0" w:space="0" w:color="auto"/>
      </w:divBdr>
    </w:div>
    <w:div w:id="1250768847">
      <w:bodyDiv w:val="1"/>
      <w:marLeft w:val="0"/>
      <w:marRight w:val="0"/>
      <w:marTop w:val="0"/>
      <w:marBottom w:val="0"/>
      <w:divBdr>
        <w:top w:val="none" w:sz="0" w:space="0" w:color="auto"/>
        <w:left w:val="none" w:sz="0" w:space="0" w:color="auto"/>
        <w:bottom w:val="none" w:sz="0" w:space="0" w:color="auto"/>
        <w:right w:val="none" w:sz="0" w:space="0" w:color="auto"/>
      </w:divBdr>
    </w:div>
    <w:div w:id="1315988759">
      <w:bodyDiv w:val="1"/>
      <w:marLeft w:val="0"/>
      <w:marRight w:val="0"/>
      <w:marTop w:val="0"/>
      <w:marBottom w:val="0"/>
      <w:divBdr>
        <w:top w:val="none" w:sz="0" w:space="0" w:color="auto"/>
        <w:left w:val="none" w:sz="0" w:space="0" w:color="auto"/>
        <w:bottom w:val="none" w:sz="0" w:space="0" w:color="auto"/>
        <w:right w:val="none" w:sz="0" w:space="0" w:color="auto"/>
      </w:divBdr>
    </w:div>
    <w:div w:id="1317683325">
      <w:bodyDiv w:val="1"/>
      <w:marLeft w:val="0"/>
      <w:marRight w:val="0"/>
      <w:marTop w:val="0"/>
      <w:marBottom w:val="0"/>
      <w:divBdr>
        <w:top w:val="none" w:sz="0" w:space="0" w:color="auto"/>
        <w:left w:val="none" w:sz="0" w:space="0" w:color="auto"/>
        <w:bottom w:val="none" w:sz="0" w:space="0" w:color="auto"/>
        <w:right w:val="none" w:sz="0" w:space="0" w:color="auto"/>
      </w:divBdr>
    </w:div>
    <w:div w:id="1318609390">
      <w:bodyDiv w:val="1"/>
      <w:marLeft w:val="0"/>
      <w:marRight w:val="0"/>
      <w:marTop w:val="0"/>
      <w:marBottom w:val="0"/>
      <w:divBdr>
        <w:top w:val="none" w:sz="0" w:space="0" w:color="auto"/>
        <w:left w:val="none" w:sz="0" w:space="0" w:color="auto"/>
        <w:bottom w:val="none" w:sz="0" w:space="0" w:color="auto"/>
        <w:right w:val="none" w:sz="0" w:space="0" w:color="auto"/>
      </w:divBdr>
    </w:div>
    <w:div w:id="1320771577">
      <w:bodyDiv w:val="1"/>
      <w:marLeft w:val="0"/>
      <w:marRight w:val="0"/>
      <w:marTop w:val="0"/>
      <w:marBottom w:val="0"/>
      <w:divBdr>
        <w:top w:val="none" w:sz="0" w:space="0" w:color="auto"/>
        <w:left w:val="none" w:sz="0" w:space="0" w:color="auto"/>
        <w:bottom w:val="none" w:sz="0" w:space="0" w:color="auto"/>
        <w:right w:val="none" w:sz="0" w:space="0" w:color="auto"/>
      </w:divBdr>
    </w:div>
    <w:div w:id="1328748897">
      <w:bodyDiv w:val="1"/>
      <w:marLeft w:val="0"/>
      <w:marRight w:val="0"/>
      <w:marTop w:val="0"/>
      <w:marBottom w:val="0"/>
      <w:divBdr>
        <w:top w:val="none" w:sz="0" w:space="0" w:color="auto"/>
        <w:left w:val="none" w:sz="0" w:space="0" w:color="auto"/>
        <w:bottom w:val="none" w:sz="0" w:space="0" w:color="auto"/>
        <w:right w:val="none" w:sz="0" w:space="0" w:color="auto"/>
      </w:divBdr>
    </w:div>
    <w:div w:id="1347437268">
      <w:bodyDiv w:val="1"/>
      <w:marLeft w:val="0"/>
      <w:marRight w:val="0"/>
      <w:marTop w:val="0"/>
      <w:marBottom w:val="0"/>
      <w:divBdr>
        <w:top w:val="none" w:sz="0" w:space="0" w:color="auto"/>
        <w:left w:val="none" w:sz="0" w:space="0" w:color="auto"/>
        <w:bottom w:val="none" w:sz="0" w:space="0" w:color="auto"/>
        <w:right w:val="none" w:sz="0" w:space="0" w:color="auto"/>
      </w:divBdr>
    </w:div>
    <w:div w:id="1387099699">
      <w:bodyDiv w:val="1"/>
      <w:marLeft w:val="0"/>
      <w:marRight w:val="0"/>
      <w:marTop w:val="0"/>
      <w:marBottom w:val="0"/>
      <w:divBdr>
        <w:top w:val="none" w:sz="0" w:space="0" w:color="auto"/>
        <w:left w:val="none" w:sz="0" w:space="0" w:color="auto"/>
        <w:bottom w:val="none" w:sz="0" w:space="0" w:color="auto"/>
        <w:right w:val="none" w:sz="0" w:space="0" w:color="auto"/>
      </w:divBdr>
    </w:div>
    <w:div w:id="1409696600">
      <w:bodyDiv w:val="1"/>
      <w:marLeft w:val="0"/>
      <w:marRight w:val="0"/>
      <w:marTop w:val="0"/>
      <w:marBottom w:val="0"/>
      <w:divBdr>
        <w:top w:val="none" w:sz="0" w:space="0" w:color="auto"/>
        <w:left w:val="none" w:sz="0" w:space="0" w:color="auto"/>
        <w:bottom w:val="none" w:sz="0" w:space="0" w:color="auto"/>
        <w:right w:val="none" w:sz="0" w:space="0" w:color="auto"/>
      </w:divBdr>
    </w:div>
    <w:div w:id="1439257780">
      <w:bodyDiv w:val="1"/>
      <w:marLeft w:val="0"/>
      <w:marRight w:val="0"/>
      <w:marTop w:val="0"/>
      <w:marBottom w:val="0"/>
      <w:divBdr>
        <w:top w:val="none" w:sz="0" w:space="0" w:color="auto"/>
        <w:left w:val="none" w:sz="0" w:space="0" w:color="auto"/>
        <w:bottom w:val="none" w:sz="0" w:space="0" w:color="auto"/>
        <w:right w:val="none" w:sz="0" w:space="0" w:color="auto"/>
      </w:divBdr>
    </w:div>
    <w:div w:id="1538002750">
      <w:bodyDiv w:val="1"/>
      <w:marLeft w:val="0"/>
      <w:marRight w:val="0"/>
      <w:marTop w:val="0"/>
      <w:marBottom w:val="0"/>
      <w:divBdr>
        <w:top w:val="none" w:sz="0" w:space="0" w:color="auto"/>
        <w:left w:val="none" w:sz="0" w:space="0" w:color="auto"/>
        <w:bottom w:val="none" w:sz="0" w:space="0" w:color="auto"/>
        <w:right w:val="none" w:sz="0" w:space="0" w:color="auto"/>
      </w:divBdr>
    </w:div>
    <w:div w:id="1679959888">
      <w:bodyDiv w:val="1"/>
      <w:marLeft w:val="0"/>
      <w:marRight w:val="0"/>
      <w:marTop w:val="0"/>
      <w:marBottom w:val="0"/>
      <w:divBdr>
        <w:top w:val="none" w:sz="0" w:space="0" w:color="auto"/>
        <w:left w:val="none" w:sz="0" w:space="0" w:color="auto"/>
        <w:bottom w:val="none" w:sz="0" w:space="0" w:color="auto"/>
        <w:right w:val="none" w:sz="0" w:space="0" w:color="auto"/>
      </w:divBdr>
    </w:div>
    <w:div w:id="1696811215">
      <w:bodyDiv w:val="1"/>
      <w:marLeft w:val="0"/>
      <w:marRight w:val="0"/>
      <w:marTop w:val="0"/>
      <w:marBottom w:val="0"/>
      <w:divBdr>
        <w:top w:val="none" w:sz="0" w:space="0" w:color="auto"/>
        <w:left w:val="none" w:sz="0" w:space="0" w:color="auto"/>
        <w:bottom w:val="none" w:sz="0" w:space="0" w:color="auto"/>
        <w:right w:val="none" w:sz="0" w:space="0" w:color="auto"/>
      </w:divBdr>
    </w:div>
    <w:div w:id="1861159665">
      <w:bodyDiv w:val="1"/>
      <w:marLeft w:val="0"/>
      <w:marRight w:val="0"/>
      <w:marTop w:val="0"/>
      <w:marBottom w:val="0"/>
      <w:divBdr>
        <w:top w:val="none" w:sz="0" w:space="0" w:color="auto"/>
        <w:left w:val="none" w:sz="0" w:space="0" w:color="auto"/>
        <w:bottom w:val="none" w:sz="0" w:space="0" w:color="auto"/>
        <w:right w:val="none" w:sz="0" w:space="0" w:color="auto"/>
      </w:divBdr>
    </w:div>
    <w:div w:id="1881278074">
      <w:bodyDiv w:val="1"/>
      <w:marLeft w:val="0"/>
      <w:marRight w:val="0"/>
      <w:marTop w:val="0"/>
      <w:marBottom w:val="0"/>
      <w:divBdr>
        <w:top w:val="none" w:sz="0" w:space="0" w:color="auto"/>
        <w:left w:val="none" w:sz="0" w:space="0" w:color="auto"/>
        <w:bottom w:val="none" w:sz="0" w:space="0" w:color="auto"/>
        <w:right w:val="none" w:sz="0" w:space="0" w:color="auto"/>
      </w:divBdr>
    </w:div>
    <w:div w:id="1996447688">
      <w:bodyDiv w:val="1"/>
      <w:marLeft w:val="0"/>
      <w:marRight w:val="0"/>
      <w:marTop w:val="0"/>
      <w:marBottom w:val="0"/>
      <w:divBdr>
        <w:top w:val="none" w:sz="0" w:space="0" w:color="auto"/>
        <w:left w:val="none" w:sz="0" w:space="0" w:color="auto"/>
        <w:bottom w:val="none" w:sz="0" w:space="0" w:color="auto"/>
        <w:right w:val="none" w:sz="0" w:space="0" w:color="auto"/>
      </w:divBdr>
    </w:div>
    <w:div w:id="2046907483">
      <w:bodyDiv w:val="1"/>
      <w:marLeft w:val="0"/>
      <w:marRight w:val="0"/>
      <w:marTop w:val="0"/>
      <w:marBottom w:val="0"/>
      <w:divBdr>
        <w:top w:val="none" w:sz="0" w:space="0" w:color="auto"/>
        <w:left w:val="none" w:sz="0" w:space="0" w:color="auto"/>
        <w:bottom w:val="none" w:sz="0" w:space="0" w:color="auto"/>
        <w:right w:val="none" w:sz="0" w:space="0" w:color="auto"/>
      </w:divBdr>
    </w:div>
    <w:div w:id="2083525411">
      <w:bodyDiv w:val="1"/>
      <w:marLeft w:val="0"/>
      <w:marRight w:val="0"/>
      <w:marTop w:val="0"/>
      <w:marBottom w:val="0"/>
      <w:divBdr>
        <w:top w:val="none" w:sz="0" w:space="0" w:color="auto"/>
        <w:left w:val="none" w:sz="0" w:space="0" w:color="auto"/>
        <w:bottom w:val="none" w:sz="0" w:space="0" w:color="auto"/>
        <w:right w:val="none" w:sz="0" w:space="0" w:color="auto"/>
      </w:divBdr>
    </w:div>
    <w:div w:id="2085099250">
      <w:bodyDiv w:val="1"/>
      <w:marLeft w:val="0"/>
      <w:marRight w:val="0"/>
      <w:marTop w:val="0"/>
      <w:marBottom w:val="0"/>
      <w:divBdr>
        <w:top w:val="none" w:sz="0" w:space="0" w:color="auto"/>
        <w:left w:val="none" w:sz="0" w:space="0" w:color="auto"/>
        <w:bottom w:val="none" w:sz="0" w:space="0" w:color="auto"/>
        <w:right w:val="none" w:sz="0" w:space="0" w:color="auto"/>
      </w:divBdr>
    </w:div>
    <w:div w:id="210429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2167</Words>
  <Characters>12356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Tp300l</dc:creator>
  <cp:lastModifiedBy>Người dùng khách</cp:lastModifiedBy>
  <cp:revision>2</cp:revision>
  <dcterms:created xsi:type="dcterms:W3CDTF">2019-09-30T14:48:00Z</dcterms:created>
  <dcterms:modified xsi:type="dcterms:W3CDTF">2019-09-30T14:48:00Z</dcterms:modified>
</cp:coreProperties>
</file>